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A" w:rsidRPr="0034523B" w:rsidRDefault="006C36F2" w:rsidP="00FF42DB">
      <w:pPr>
        <w:spacing w:after="0" w:line="240" w:lineRule="auto"/>
        <w:jc w:val="center"/>
        <w:rPr>
          <w:rFonts w:ascii="Times New Roman" w:hAnsi="Times New Roman" w:cs="Times New Roman"/>
          <w:b/>
          <w:sz w:val="24"/>
          <w:szCs w:val="24"/>
        </w:rPr>
      </w:pPr>
      <w:bookmarkStart w:id="0" w:name="_GoBack"/>
      <w:bookmarkEnd w:id="0"/>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34523B" w:rsidRPr="0034523B">
        <w:rPr>
          <w:rFonts w:ascii="Times New Roman" w:hAnsi="Times New Roman" w:cs="Times New Roman"/>
          <w:b/>
          <w:sz w:val="24"/>
          <w:szCs w:val="24"/>
        </w:rPr>
        <w:t xml:space="preserve"> </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r>
      <w:r w:rsidR="0034523B">
        <w:rPr>
          <w:rFonts w:ascii="Times New Roman" w:eastAsia="Times New Roman" w:hAnsi="Times New Roman" w:cs="Times New Roman"/>
          <w:sz w:val="24"/>
          <w:szCs w:val="24"/>
        </w:rPr>
        <w:t xml:space="preserve"> </w:t>
      </w:r>
      <w:r w:rsidRPr="0034523B">
        <w:rPr>
          <w:rFonts w:ascii="Times New Roman" w:eastAsia="Times New Roman" w:hAnsi="Times New Roman" w:cs="Times New Roman"/>
          <w:sz w:val="12"/>
          <w:szCs w:val="24"/>
        </w:rPr>
        <w:t xml:space="preserve"> </w:t>
      </w:r>
      <w:r w:rsidRPr="0034523B">
        <w:rPr>
          <w:rFonts w:ascii="Times New Roman" w:eastAsia="Times New Roman" w:hAnsi="Times New Roman" w:cs="Times New Roman"/>
          <w:sz w:val="24"/>
          <w:szCs w:val="24"/>
        </w:rPr>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9"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w:t>
      </w:r>
      <w:r w:rsidRPr="0034523B">
        <w:rPr>
          <w:rFonts w:ascii="Times New Roman" w:hAnsi="Times New Roman" w:cs="Times New Roman"/>
          <w:sz w:val="24"/>
          <w:szCs w:val="24"/>
        </w:rPr>
        <w:t xml:space="preserve"> </w:t>
      </w:r>
      <w:r w:rsidRPr="0034523B">
        <w:rPr>
          <w:rFonts w:ascii="Times New Roman" w:eastAsia="Times New Roman" w:hAnsi="Times New Roman" w:cs="Times New Roman"/>
          <w:b/>
          <w:bCs/>
          <w:color w:val="000000"/>
          <w:sz w:val="24"/>
          <w:szCs w:val="24"/>
        </w:rPr>
        <w:t>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Eğitimin niteliğini geliştirmek ve derslerin öğretimindeki verimliliği arttırmak.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Alan bilgisi ve öğretimi konusunda öğretmenlerin mesleki gelişimlerine katkı sağlamak.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uygulanan yöntem ve teknikler, kullanılan öğretim materyalleri ile ölçme ve değerlendirme kriterlerinde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Öğretmenlerin işbirliği halinde derslerin öğretimi ile ilgili yeni öğretim materyalleri hazırlamalarına, geliştirmelerine destek olmak ve bu kapsamda EBA’ya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Mesleki çalışmaların süresi günlük 4 saattir. Çalışma takvimi Ek’teki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1"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2" w:history="1">
        <w:r w:rsidRPr="0034523B">
          <w:rPr>
            <w:rFonts w:ascii="Times New Roman" w:eastAsia="Times New Roman" w:hAnsi="Times New Roman" w:cs="Times New Roman"/>
            <w:sz w:val="24"/>
            <w:szCs w:val="24"/>
          </w:rPr>
          <w:t>.</w:t>
        </w:r>
      </w:hyperlink>
      <w:r w:rsidRPr="0034523B">
        <w:rPr>
          <w:rFonts w:ascii="Times New Roman" w:eastAsia="Times New Roman" w:hAnsi="Times New Roman" w:cs="Times New Roman"/>
          <w:sz w:val="24"/>
          <w:szCs w:val="24"/>
        </w:rPr>
        <w:t xml:space="preserve"> </w:t>
      </w:r>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eri, CD ve internet adresleri v.s</w:t>
      </w:r>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3"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r w:rsidR="00FF42DB" w:rsidRPr="003E5EEA">
        <w:rPr>
          <w:b/>
          <w:bCs/>
          <w:color w:val="000000"/>
        </w:rPr>
        <w:t xml:space="preserve"> </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Kaynaştırma eğitimi yapılacak öğrencilerle ilgili değerlendirmelerin yapılması,</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4"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w:t>
            </w:r>
            <w:r w:rsidR="00E31725" w:rsidRPr="00BC1C81">
              <w:rPr>
                <w:rFonts w:ascii="Times New Roman" w:eastAsia="Times New Roman" w:hAnsi="Times New Roman" w:cs="Times New Roman"/>
              </w:rPr>
              <w:t xml:space="preserve"> </w:t>
            </w:r>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w:t>
            </w:r>
            <w:r w:rsidR="00E31725" w:rsidRPr="00BC1C81">
              <w:rPr>
                <w:rFonts w:ascii="Times New Roman" w:hAnsi="Times New Roman" w:cs="Times New Roman"/>
                <w:b/>
                <w:color w:val="000000"/>
                <w:lang w:eastAsia="en-US"/>
              </w:rPr>
              <w:t xml:space="preserve"> </w:t>
            </w:r>
            <w:r w:rsidR="00E31725" w:rsidRPr="00BC1C81">
              <w:rPr>
                <w:rFonts w:ascii="Times New Roman" w:hAnsi="Times New Roman" w:cs="Times New Roman"/>
                <w:color w:val="000000"/>
                <w:lang w:eastAsia="en-US"/>
              </w:rPr>
              <w:t>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r w:rsidR="00E73400" w:rsidRPr="003E5EEA">
        <w:rPr>
          <w:rFonts w:ascii="Times New Roman" w:hAnsi="Times New Roman" w:cs="Times New Roman"/>
          <w:sz w:val="24"/>
          <w:szCs w:val="24"/>
        </w:rPr>
        <w:t xml:space="preserve">        </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w:t>
      </w:r>
      <w:r w:rsidR="00716811"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2,</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Özel Eğitim konularında çalışmalar (BEP, hiperaktif öğrenciler, özel eğitim gereksinimi olan birey vs.)</w:t>
            </w:r>
            <w:r w:rsidR="004B4E1E" w:rsidRPr="00BC1C81">
              <w:rPr>
                <w:sz w:val="22"/>
                <w:szCs w:val="22"/>
                <w:lang w:eastAsia="en-US"/>
              </w:rPr>
              <w:t>,</w:t>
            </w:r>
            <w:r w:rsidRPr="00BC1C81">
              <w:rPr>
                <w:sz w:val="22"/>
                <w:szCs w:val="22"/>
                <w:lang w:eastAsia="en-US"/>
              </w:rPr>
              <w:t xml:space="preserve"> </w:t>
            </w:r>
            <w:r w:rsidR="004B4E1E" w:rsidRPr="00BC1C81">
              <w:rPr>
                <w:sz w:val="22"/>
                <w:szCs w:val="22"/>
                <w:lang w:eastAsia="en-US"/>
              </w:rPr>
              <w:t xml:space="preserve"> </w:t>
            </w:r>
            <w:r w:rsidRPr="00BC1C81">
              <w:rPr>
                <w:sz w:val="22"/>
                <w:szCs w:val="22"/>
              </w:rPr>
              <w:t>Okul içindeki kaynaştırma eğitimi politikasının gözden geçirilmesi,</w:t>
            </w:r>
            <w:r w:rsidR="004B4E1E" w:rsidRPr="00BC1C81">
              <w:rPr>
                <w:sz w:val="22"/>
                <w:szCs w:val="22"/>
              </w:rPr>
              <w:t xml:space="preserve"> </w:t>
            </w:r>
            <w:r w:rsidRPr="00BC1C81">
              <w:rPr>
                <w:sz w:val="22"/>
                <w:szCs w:val="22"/>
              </w:rPr>
              <w:t>Kaynaştırma eğitimi yapılacak öğrencilerle ilgili değerlendirmelerin yapılması,</w:t>
            </w:r>
            <w:r w:rsidR="004B4E1E" w:rsidRPr="00BC1C81">
              <w:rPr>
                <w:sz w:val="22"/>
                <w:szCs w:val="22"/>
              </w:rPr>
              <w:t xml:space="preserve"> </w:t>
            </w:r>
            <w:r w:rsidRPr="00BC1C81">
              <w:rPr>
                <w:sz w:val="22"/>
                <w:szCs w:val="22"/>
              </w:rPr>
              <w:t>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w:t>
            </w:r>
            <w:r w:rsidR="009B6A19" w:rsidRPr="00BC1C81">
              <w:rPr>
                <w:rFonts w:ascii="Times New Roman" w:eastAsia="Times New Roman" w:hAnsi="Times New Roman" w:cs="Times New Roman"/>
              </w:rPr>
              <w:t xml:space="preserve"> </w:t>
            </w:r>
            <w:r w:rsidR="00720C9B" w:rsidRPr="00BC1C81">
              <w:rPr>
                <w:rFonts w:ascii="Times New Roman" w:eastAsia="Times New Roman" w:hAnsi="Times New Roman" w:cs="Times New Roman"/>
              </w:rPr>
              <w:t>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r w:rsidRPr="00BC1C81">
              <w:rPr>
                <w:rFonts w:ascii="Times New Roman" w:hAnsi="Times New Roman" w:cs="Times New Roman"/>
                <w:color w:val="000000"/>
                <w:lang w:eastAsia="en-US"/>
              </w:rPr>
              <w:t xml:space="preserve"> </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oryantasyon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005D3B17" w:rsidRPr="00BC1C81">
              <w:rPr>
                <w:rFonts w:ascii="Times New Roman" w:eastAsia="Times New Roman" w:hAnsi="Times New Roman" w:cs="Times New Roman"/>
                <w:color w:val="000000"/>
              </w:rPr>
              <w:t xml:space="preserve"> </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w:t>
            </w:r>
            <w:r w:rsidRPr="00C216A7">
              <w:rPr>
                <w:rFonts w:ascii="Times New Roman" w:eastAsia="Times New Roman" w:hAnsi="Times New Roman" w:cs="Times New Roman"/>
                <w:color w:val="333333"/>
                <w:sz w:val="24"/>
                <w:szCs w:val="24"/>
              </w:rPr>
              <w:t xml:space="preserve"> </w:t>
            </w:r>
            <w:r w:rsidRPr="00C216A7">
              <w:rPr>
                <w:rFonts w:ascii="Times New Roman" w:eastAsia="Times New Roman" w:hAnsi="Times New Roman" w:cs="Times New Roman"/>
                <w:b/>
                <w:color w:val="333333"/>
                <w:sz w:val="24"/>
                <w:szCs w:val="24"/>
              </w:rPr>
              <w:t>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9B6A19"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 </w:t>
            </w:r>
            <w:r w:rsidR="00F007C7" w:rsidRPr="00BC1C81">
              <w:rPr>
                <w:rFonts w:ascii="Times New Roman" w:eastAsia="Times New Roman" w:hAnsi="Times New Roman" w:cs="Times New Roman"/>
                <w:color w:val="333333"/>
              </w:rPr>
              <w:t xml:space="preserve">Beslenme Dostu Okul </w:t>
            </w:r>
            <w:r w:rsidRPr="00BC1C81">
              <w:rPr>
                <w:rFonts w:ascii="Times New Roman" w:eastAsia="Times New Roman" w:hAnsi="Times New Roman" w:cs="Times New Roman"/>
                <w:color w:val="333333"/>
              </w:rPr>
              <w:t xml:space="preserve">Ve </w:t>
            </w:r>
            <w:r w:rsidR="00F007C7"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7"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BC1C81" w:rsidP="00BC1C81">
      <w:pPr>
        <w:shd w:val="clear" w:color="auto" w:fill="FFFFFF"/>
        <w:spacing w:after="0"/>
        <w:rPr>
          <w:rFonts w:ascii="Times New Roman" w:eastAsia="Times New Roman" w:hAnsi="Times New Roman" w:cs="Times New Roman"/>
          <w:color w:val="333333"/>
          <w:szCs w:val="24"/>
        </w:rPr>
      </w:pPr>
      <w:r w:rsidRPr="00BC1C81">
        <w:rPr>
          <w:rFonts w:ascii="Times New Roman" w:eastAsia="Times New Roman" w:hAnsi="Times New Roman" w:cs="Times New Roman"/>
          <w:color w:val="333333"/>
          <w:szCs w:val="24"/>
        </w:rPr>
        <w:t xml:space="preserve">  </w:t>
      </w: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Bursluluk, Sosyal Yardımlar ve Okul Pansiyonları</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Yöneticileri</w:t>
            </w:r>
            <w:r w:rsidR="009C44EF" w:rsidRPr="00BC1C81">
              <w:rPr>
                <w:rFonts w:ascii="Times New Roman" w:eastAsia="Times New Roman" w:hAnsi="Times New Roman" w:cs="Times New Roman"/>
                <w:sz w:val="20"/>
                <w:szCs w:val="20"/>
                <w:lang w:eastAsia="en-US"/>
              </w:rPr>
              <w:t xml:space="preserve">Rehber </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-18.10.2015 tarihli ve 10524046 sayılı “Proje Çalışmalarında Dikkat Edilecek”konulu yazıda yer alan açıklamalar ile”Protokol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Mesleki ve Teknik Ortaöğretim Hizmetlerinin Yürütülmesinde Dikkat Edilecek Konular hakkındaki 19.10.2015 tarihli ve 10586335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w:t>
            </w:r>
            <w:r w:rsidR="00E21EEA" w:rsidRPr="00BC1C81">
              <w:rPr>
                <w:rFonts w:ascii="Times New Roman" w:eastAsia="Times New Roman" w:hAnsi="Times New Roman" w:cs="Times New Roman"/>
                <w:bCs/>
                <w:sz w:val="21"/>
                <w:szCs w:val="21"/>
              </w:rPr>
              <w:t xml:space="preserve"> </w:t>
            </w:r>
            <w:r w:rsidRPr="00BC1C81">
              <w:rPr>
                <w:rFonts w:ascii="Times New Roman" w:eastAsia="Times New Roman" w:hAnsi="Times New Roman" w:cs="Times New Roman"/>
                <w:bCs/>
                <w:sz w:val="21"/>
                <w:szCs w:val="21"/>
              </w:rPr>
              <w:t>03.11.2016 tarihli ve 12336661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5. İşletmede beceri eğitim modülü</w:t>
            </w:r>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8"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sz w:val="21"/>
                <w:szCs w:val="21"/>
                <w:lang w:eastAsia="en-US"/>
              </w:rPr>
              <w:t xml:space="preserve"> </w:t>
            </w:r>
            <w:r w:rsidRPr="00BC1C81">
              <w:rPr>
                <w:rFonts w:ascii="Times New Roman" w:hAnsi="Times New Roman" w:cs="Times New Roman"/>
                <w:color w:val="000000"/>
                <w:sz w:val="21"/>
                <w:szCs w:val="21"/>
                <w:lang w:eastAsia="en-US"/>
              </w:rPr>
              <w:t>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r w:rsidRPr="009A0CDC">
        <w:rPr>
          <w:rFonts w:ascii="Times New Roman" w:eastAsia="Times New Roman" w:hAnsi="Times New Roman" w:cs="Times New Roman"/>
          <w:b/>
          <w:sz w:val="24"/>
          <w:szCs w:val="24"/>
        </w:rPr>
        <w:t xml:space="preserve"> </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din kültürü ve ahlak bilgisi, Arapça öğretmenleri, Anadolu imam hatip liseleri ve imam hatip ortaokullarında görev yapan bütün branşlardaki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w:t>
      </w:r>
      <w:r w:rsidR="009A0CDC">
        <w:rPr>
          <w:bCs/>
        </w:rPr>
        <w:t xml:space="preserve"> </w:t>
      </w:r>
      <w:r w:rsidRPr="009A0CDC">
        <w:rPr>
          <w:bCs/>
        </w:rPr>
        <w:t>-</w:t>
      </w:r>
      <w:r w:rsidR="009A0CDC">
        <w:rPr>
          <w:bCs/>
        </w:rPr>
        <w:t xml:space="preserve"> </w:t>
      </w:r>
      <w:r w:rsidRPr="009A0CDC">
        <w:rPr>
          <w:bCs/>
        </w:rPr>
        <w:t>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009B5164">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önceden</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İmkanlar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Times New Roman" w:hAnsi="Times New Roman" w:cs="Times New Roman"/>
          <w:b/>
          <w:sz w:val="24"/>
          <w:szCs w:val="24"/>
        </w:rPr>
        <w:t xml:space="preserve"> </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b.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Formatörlük Eğitimi Programına katılan “Formatör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Formatör Eğitimi Programlarına katılan Formatör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Bu planlama yapılırken ilçe millî eğitim müdürlükleri din öğretimi birimlerinin koordinesi ile moderatör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9"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20"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1"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firstRow="1" w:lastRow="0" w:firstColumn="1" w:lastColumn="0" w:noHBand="0" w:noVBand="1"/>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firstRow="1" w:lastRow="0" w:firstColumn="1" w:lastColumn="0" w:noHBand="0" w:noVBand="1"/>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2"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firstRow="1" w:lastRow="0" w:firstColumn="1" w:lastColumn="0" w:noHBand="0" w:noVBand="1"/>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İHO’larda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Kültürü ve Ahlak Bilgisi ile Din Ahlak ve Değerler Alanıdaki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İHO’larda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500CE9">
              <w:rPr>
                <w:rFonts w:ascii="Times New Roman" w:hAnsi="Times New Roman" w:cs="Times New Roman"/>
                <w:b/>
                <w:color w:val="000000"/>
                <w:lang w:eastAsia="en-US"/>
              </w:rPr>
              <w:t xml:space="preserve"> </w:t>
            </w:r>
            <w:r w:rsidRPr="00500CE9">
              <w:rPr>
                <w:rFonts w:ascii="Times New Roman" w:hAnsi="Times New Roman" w:cs="Times New Roman"/>
                <w:color w:val="000000"/>
                <w:lang w:eastAsia="en-US"/>
              </w:rPr>
              <w:t>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3"/>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firstRow="1" w:lastRow="0" w:firstColumn="1" w:lastColumn="0" w:noHBand="0" w:noVBand="1"/>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Yılı  ……………….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firstRow="1" w:lastRow="0" w:firstColumn="1" w:lastColumn="0" w:noHBand="0" w:noVBand="1"/>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firstRow="1" w:lastRow="0" w:firstColumn="1" w:lastColumn="0" w:noHBand="0" w:noVBand="1"/>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Brockman,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Covey,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Enç,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Freire,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Gaarder,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Sofie’nin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Glasser,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Goleman,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Gulbenkian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Holt,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Illich,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İzzetbegoviç,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Kâğıtçıbaşı, Ç.&amp; Cemalcılar,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Mahalle/Sıbyan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Khan</w:t>
            </w:r>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w:t>
            </w:r>
            <w:r>
              <w:rPr>
                <w:rFonts w:ascii="Times New Roman" w:hAnsi="Times New Roman"/>
                <w:iCs/>
                <w:sz w:val="24"/>
                <w:szCs w:val="24"/>
              </w:rPr>
              <w:t xml:space="preserve"> </w:t>
            </w:r>
            <w:r w:rsidRPr="00D70F1D">
              <w:rPr>
                <w:rFonts w:ascii="Times New Roman" w:hAnsi="Times New Roman"/>
                <w:iCs/>
                <w:sz w:val="24"/>
                <w:szCs w:val="24"/>
              </w:rPr>
              <w:t>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Leitch,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Wikipedia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McCourt.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Needham,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Özdenören,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Galatasarayı Mekteb-i Sultani’sinde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Pennac,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Petrov,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Rancier,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 xml:space="preserve">Ötüken </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Timaş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İthaki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3 Idiots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AmericanTeacher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Asyanın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Billy Elliot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Birinci Sınıf / The First Grader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 Dostum / Good Will Hunting</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Canım Öğretmenim / Monsieur Lazhar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Tahta / Takhtesiah (Blackboards)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Koro / LesChoristes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Olmak ve Sahip Olmak / Être et Avoir / To Be and To Have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Ölü Ozanlar Derneği / Dead Poets Society</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Patch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Sevgili Öğretmenim / Mr. Holland’s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Sınıf / EntreLesMurs (The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Süpermen’i Beklerken / Waiting For Superman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Tepetaklak Nelson / Half  Nelson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The Blindside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Yerdeki Yıldızlar / Taare Zameen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BF" w:rsidRDefault="00213ABF">
      <w:pPr>
        <w:spacing w:after="0" w:line="240" w:lineRule="auto"/>
      </w:pPr>
      <w:r>
        <w:separator/>
      </w:r>
    </w:p>
  </w:endnote>
  <w:endnote w:type="continuationSeparator" w:id="0">
    <w:p w:rsidR="00213ABF" w:rsidRDefault="0021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7055"/>
      <w:docPartObj>
        <w:docPartGallery w:val="Page Numbers (Bottom of Page)"/>
        <w:docPartUnique/>
      </w:docPartObj>
    </w:sdtPr>
    <w:sdtEndPr/>
    <w:sdtContent>
      <w:p w:rsidR="004B4E1E" w:rsidRDefault="004B4E1E">
        <w:pPr>
          <w:pStyle w:val="Altbilgi"/>
          <w:jc w:val="center"/>
        </w:pPr>
        <w:r>
          <w:fldChar w:fldCharType="begin"/>
        </w:r>
        <w:r>
          <w:instrText>PAGE   \* MERGEFORMAT</w:instrText>
        </w:r>
        <w:r>
          <w:fldChar w:fldCharType="separate"/>
        </w:r>
        <w:r w:rsidR="00D8537F">
          <w:rPr>
            <w:noProof/>
          </w:rPr>
          <w:t>1</w:t>
        </w:r>
        <w:r>
          <w:fldChar w:fldCharType="end"/>
        </w:r>
      </w:p>
    </w:sdtContent>
  </w:sdt>
  <w:p w:rsidR="004B4E1E" w:rsidRDefault="004B4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BF" w:rsidRDefault="00213ABF">
      <w:pPr>
        <w:spacing w:after="0" w:line="240" w:lineRule="auto"/>
      </w:pPr>
      <w:r>
        <w:separator/>
      </w:r>
    </w:p>
  </w:footnote>
  <w:footnote w:type="continuationSeparator" w:id="0">
    <w:p w:rsidR="00213ABF" w:rsidRDefault="0021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DB"/>
    <w:rsid w:val="000966AF"/>
    <w:rsid w:val="00096C01"/>
    <w:rsid w:val="000B00FC"/>
    <w:rsid w:val="000E3128"/>
    <w:rsid w:val="0011588D"/>
    <w:rsid w:val="00144220"/>
    <w:rsid w:val="00161B95"/>
    <w:rsid w:val="00167596"/>
    <w:rsid w:val="001D40AA"/>
    <w:rsid w:val="001F1C7F"/>
    <w:rsid w:val="00207A2E"/>
    <w:rsid w:val="00213ABF"/>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642A83"/>
    <w:rsid w:val="00687312"/>
    <w:rsid w:val="00694BFB"/>
    <w:rsid w:val="006C36F2"/>
    <w:rsid w:val="006D350C"/>
    <w:rsid w:val="006D5246"/>
    <w:rsid w:val="006E2936"/>
    <w:rsid w:val="006E5A73"/>
    <w:rsid w:val="006F3F9D"/>
    <w:rsid w:val="00716811"/>
    <w:rsid w:val="00720C9B"/>
    <w:rsid w:val="00786A71"/>
    <w:rsid w:val="007A5E7A"/>
    <w:rsid w:val="007C44FC"/>
    <w:rsid w:val="007D1DB2"/>
    <w:rsid w:val="00806BCB"/>
    <w:rsid w:val="008571D4"/>
    <w:rsid w:val="00867E43"/>
    <w:rsid w:val="00871818"/>
    <w:rsid w:val="00887533"/>
    <w:rsid w:val="008C3136"/>
    <w:rsid w:val="008D6CC1"/>
    <w:rsid w:val="008E25D0"/>
    <w:rsid w:val="008E5B2A"/>
    <w:rsid w:val="009A0CDC"/>
    <w:rsid w:val="009B5164"/>
    <w:rsid w:val="009B6A19"/>
    <w:rsid w:val="009C0D2F"/>
    <w:rsid w:val="009C44EF"/>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E04A0"/>
    <w:rsid w:val="00CE391F"/>
    <w:rsid w:val="00CF7EEE"/>
    <w:rsid w:val="00D171A6"/>
    <w:rsid w:val="00D2695D"/>
    <w:rsid w:val="00D34244"/>
    <w:rsid w:val="00D8537F"/>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gm.meb.gov.tr/yayimlar/milli_egitim_dergisi.html"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hyperlink" Target="mailto:muratkarakaya@meb.gov.tr" TargetMode="External"/><Relationship Id="rId7" Type="http://schemas.openxmlformats.org/officeDocument/2006/relationships/footnotes" Target="footnotes.xml"/><Relationship Id="rId12" Type="http://schemas.openxmlformats.org/officeDocument/2006/relationships/hyperlink" Target="http://www.ajanskamu.com/haber/mebden-ogretmenlere-seminer-donemi-yazisi_h64574.html" TargetMode="External"/><Relationship Id="rId17" Type="http://schemas.openxmlformats.org/officeDocument/2006/relationships/hyperlink" Target="http://dhgm.meb.gov.tr/yayimlar/milli_egitim_dergis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zolgun@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anskamu.com/haber/mebden-ogretmenlere-seminer-donemi-yazisi_h6457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23" Type="http://schemas.openxmlformats.org/officeDocument/2006/relationships/footer" Target="footer1.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dogm.izleme@meb.gov.tr" TargetMode="Externa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2348-A51F-4173-92E2-86B93B1C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6242</Words>
  <Characters>35584</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EBRU</cp:lastModifiedBy>
  <cp:revision>2</cp:revision>
  <cp:lastPrinted>2017-08-21T14:05:00Z</cp:lastPrinted>
  <dcterms:created xsi:type="dcterms:W3CDTF">2017-08-25T12:37:00Z</dcterms:created>
  <dcterms:modified xsi:type="dcterms:W3CDTF">2017-08-25T12:37:00Z</dcterms:modified>
</cp:coreProperties>
</file>